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35"/>
        </w:tabs>
        <w:snapToGrid w:val="0"/>
        <w:spacing w:line="578" w:lineRule="exact"/>
        <w:jc w:val="both"/>
        <w:textAlignment w:val="baseline"/>
        <w:rPr>
          <w:rStyle w:val="5"/>
          <w:rFonts w:hint="eastAsia" w:eastAsia="仿宋_GB2312" w:cstheme="minorBidi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2835"/>
        </w:tabs>
        <w:snapToGrid w:val="0"/>
        <w:spacing w:line="578" w:lineRule="exact"/>
        <w:jc w:val="center"/>
        <w:textAlignment w:val="baseline"/>
        <w:rPr>
          <w:rStyle w:val="5"/>
          <w:rFonts w:eastAsia="方正小标宋_GBK" w:cstheme="minorBidi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eastAsia="方正小标宋_GBK" w:cstheme="minorBidi"/>
          <w:kern w:val="2"/>
          <w:sz w:val="44"/>
          <w:szCs w:val="44"/>
          <w:lang w:val="en-US" w:eastAsia="zh-CN" w:bidi="ar-SA"/>
        </w:rPr>
        <w:t>2021年四川文理学院“六合杯”校园足球比赛</w:t>
      </w:r>
      <w:r>
        <w:rPr>
          <w:rStyle w:val="5"/>
          <w:rFonts w:eastAsia="方正小标宋_GBK" w:cstheme="minorBidi"/>
          <w:kern w:val="2"/>
          <w:sz w:val="44"/>
          <w:szCs w:val="44"/>
          <w:lang w:val="en-US" w:eastAsia="zh-CN" w:bidi="ar-SA"/>
        </w:rPr>
        <w:t>竞赛规程</w:t>
      </w:r>
    </w:p>
    <w:p>
      <w:pPr>
        <w:tabs>
          <w:tab w:val="left" w:pos="2835"/>
        </w:tabs>
        <w:snapToGrid w:val="0"/>
        <w:spacing w:line="578" w:lineRule="exact"/>
        <w:jc w:val="center"/>
        <w:textAlignment w:val="baseline"/>
        <w:rPr>
          <w:rStyle w:val="5"/>
          <w:rFonts w:eastAsia="方正小标宋_GBK"/>
          <w:kern w:val="2"/>
          <w:sz w:val="44"/>
          <w:szCs w:val="44"/>
          <w:lang w:val="en-US" w:eastAsia="zh-CN" w:bidi="ar-SA"/>
        </w:rPr>
      </w:pP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一、主办单位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hint="eastAsia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 w:cstheme="minorBidi"/>
          <w:color w:val="000000"/>
          <w:kern w:val="2"/>
          <w:sz w:val="32"/>
          <w:szCs w:val="32"/>
          <w:lang w:val="en-US" w:eastAsia="zh-CN" w:bidi="ar-SA"/>
        </w:rPr>
        <w:t>共青团四川文理学院委员会、四川文理学院体育学院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二、承办单位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hint="default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四川文理学院足球协会</w:t>
      </w:r>
    </w:p>
    <w:p>
      <w:pPr>
        <w:numPr>
          <w:ilvl w:val="0"/>
          <w:numId w:val="1"/>
        </w:numPr>
        <w:spacing w:line="578" w:lineRule="exact"/>
        <w:ind w:firstLine="640" w:firstLineChars="200"/>
        <w:jc w:val="both"/>
        <w:textAlignment w:val="baseline"/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协办单位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hint="eastAsia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 w:cstheme="minorBidi"/>
          <w:color w:val="000000"/>
          <w:kern w:val="2"/>
          <w:sz w:val="32"/>
          <w:szCs w:val="32"/>
          <w:lang w:val="en-US" w:eastAsia="zh-CN" w:bidi="ar-SA"/>
        </w:rPr>
        <w:t>四川文理学院社团联合会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四、比赛时间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C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2021年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月-6月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五、比赛地点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hint="default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四川文理学院莲湖校区足球场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六、竞赛组别</w:t>
      </w:r>
    </w:p>
    <w:p>
      <w:pPr>
        <w:pStyle w:val="6"/>
        <w:spacing w:line="578" w:lineRule="exact"/>
        <w:ind w:firstLine="640" w:firstLineChars="200"/>
        <w:jc w:val="both"/>
        <w:textAlignment w:val="baseline"/>
        <w:rPr>
          <w:rStyle w:val="7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（一）</w:t>
      </w:r>
      <w:r>
        <w:rPr>
          <w:rStyle w:val="7"/>
          <w:rFonts w:hint="eastAsia"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男子</w:t>
      </w:r>
      <w:r>
        <w:rPr>
          <w:rStyle w:val="7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组：</w:t>
      </w:r>
      <w:r>
        <w:rPr>
          <w:rStyle w:val="7"/>
          <w:rFonts w:hint="eastAsia"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11</w:t>
      </w:r>
      <w:r>
        <w:rPr>
          <w:rStyle w:val="7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人制足球（限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2"/>
          <w:szCs w:val="32"/>
        </w:rPr>
        <w:t>队员须为全日制在校本专科学生</w:t>
      </w:r>
      <w:r>
        <w:rPr>
          <w:rStyle w:val="7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）。</w:t>
      </w:r>
    </w:p>
    <w:p>
      <w:pPr>
        <w:pStyle w:val="6"/>
        <w:spacing w:line="578" w:lineRule="exact"/>
        <w:ind w:firstLine="640" w:firstLineChars="200"/>
        <w:jc w:val="both"/>
        <w:textAlignment w:val="baseline"/>
        <w:rPr>
          <w:rStyle w:val="5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Style w:val="7"/>
          <w:rFonts w:hint="eastAsia"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女子</w:t>
      </w:r>
      <w:r>
        <w:rPr>
          <w:rStyle w:val="7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组：</w:t>
      </w:r>
      <w:r>
        <w:rPr>
          <w:rStyle w:val="5"/>
          <w:rFonts w:hint="eastAsia"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8</w:t>
      </w:r>
      <w:r>
        <w:rPr>
          <w:rStyle w:val="5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人制足球（限</w:t>
      </w:r>
      <w:r>
        <w:rPr>
          <w:rFonts w:hint="eastAsia" w:ascii="仿宋" w:hAnsi="仿宋" w:eastAsia="仿宋" w:cs="仿宋_GB2312"/>
          <w:b w:val="0"/>
          <w:i w:val="0"/>
          <w:caps w:val="0"/>
          <w:spacing w:val="0"/>
          <w:w w:val="100"/>
          <w:sz w:val="32"/>
          <w:szCs w:val="32"/>
        </w:rPr>
        <w:t>队员须为全日制在校本专科学生</w:t>
      </w:r>
      <w:r>
        <w:rPr>
          <w:rStyle w:val="5"/>
          <w:rFonts w:ascii="Times New Roman" w:hAnsi="Times New Roman" w:eastAsia="仿宋_GB2312"/>
          <w:color w:val="000000"/>
          <w:kern w:val="2"/>
          <w:sz w:val="32"/>
          <w:szCs w:val="32"/>
          <w:lang w:val="en-US" w:eastAsia="zh-CN" w:bidi="ar-SA"/>
        </w:rPr>
        <w:t>）。</w:t>
      </w:r>
    </w:p>
    <w:p>
      <w:pPr>
        <w:tabs>
          <w:tab w:val="left" w:pos="2835"/>
        </w:tabs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黑体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七、参赛单位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各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二级学院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黑体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八、参赛资格要求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（一）参赛运动员必须是中华人民共和国公民，遵守中华人民共和国法律法规。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（二）经医院检查证明身体健康并适宜参加足球比赛者。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（三）运动员必须购买2021年意外伤害保险，并且与主办方签订免责协议，方可参加比赛。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（四）报名人数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男子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11人制：各运动队报名人数不超过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21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人，正式比赛时确认运动员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20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人、领队1人。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女子8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人制：各运动队报名人数不超过1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7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人，正式比赛时确认运动员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16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人、领队1人。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名单确定提交后在比赛期间不得更改。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（五）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每名队员只能在一个代表队注册参赛，如发现某队员出现重复替他队参加比赛，则取消该队员所在两队的比赛成绩。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九、参赛报名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（一）报名时间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各参赛队于2021年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月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17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日17点前完成报名事宜。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 w:cstheme="minorBidi"/>
          <w:color w:val="000000"/>
          <w:kern w:val="2"/>
          <w:sz w:val="32"/>
          <w:szCs w:val="32"/>
          <w:lang w:val="en-US" w:eastAsia="zh-CN" w:bidi="ar-SA"/>
        </w:rPr>
        <w:t>联 系 人</w:t>
      </w:r>
      <w:r>
        <w:rPr>
          <w:rStyle w:val="5"/>
          <w:rFonts w:hint="eastAsia" w:eastAsia="仿宋_GB2312" w:cstheme="minorBidi"/>
          <w:color w:val="000000"/>
          <w:kern w:val="2"/>
          <w:sz w:val="32"/>
          <w:szCs w:val="32"/>
          <w:lang w:val="en-US" w:eastAsia="zh-CN" w:bidi="ar-SA"/>
        </w:rPr>
        <w:t>：林奕名 QQ：1246607912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（二）报到时各参赛队必须交参赛运动员医院体检证明。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黑体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/>
          <w:kern w:val="2"/>
          <w:sz w:val="32"/>
          <w:szCs w:val="32"/>
          <w:lang w:val="en-US" w:eastAsia="zh-CN" w:bidi="ar-SA"/>
        </w:rPr>
        <w:t>十、比赛规则及相关规定</w:t>
      </w:r>
    </w:p>
    <w:p>
      <w:pPr>
        <w:tabs>
          <w:tab w:val="left" w:pos="2835"/>
        </w:tabs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楷体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楷体_GB2312"/>
          <w:kern w:val="2"/>
          <w:sz w:val="32"/>
          <w:szCs w:val="32"/>
          <w:lang w:val="en-US" w:eastAsia="zh-CN" w:bidi="ar-SA"/>
        </w:rPr>
        <w:t>（一）竞赛规则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1．执行国际足联最新《11人制足球比赛规则》。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2．青年组为11人制，上、下半场时间各45分钟，中场休息15分钟；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女子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组为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八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人制，上、下半场时间各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3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0分钟，中场休息15分钟。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3．开赛前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0分钟由各领队按规定，到场地裁判组领取并填写比赛出场名单表，11人制首发出场名单不得少于7人；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8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人制首发出场名单不得少于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6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人，否则视为弃权。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4．比赛每个组别均采用小组单循环赛制。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5．比赛采用5号球。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6．每场比赛进行中上、下半场各3次换人，每次不限人数，中场换人不计次数，换下场队员不得重新上场。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7．竞赛服装：各队必须准备两套深浅不同的比赛服，服装、护袜颜色必须统一，号码清楚，守门员的服装必须与其他运动员、裁判员的服装有明显的区别。运动员必须佩戴护腿板，不得穿钢钉足球鞋及裁判员认为有危及对方安全的鞋上场比赛，不得佩带任何有可能伤害他人或本人的物品上场。如有佩戴眼镜的队员，必须佩戴保护性超强的护目眼镜，且不能带有明显的棱角，以免误伤自己及其他球员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8．决定名次的办法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"/>
          <w:kern w:val="2"/>
          <w:sz w:val="28"/>
          <w:szCs w:val="28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胜一场得3分，平一场得1分，负一场得0分。按积分高低决定名次，积分高者列前。如果两队以上积分相等，以下列顺序排列名次：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（1）积分相等队之间互相比赛积分多者，名次列前；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（2）积分相等队之间互相比赛净胜球多者，名次列前；</w:t>
      </w:r>
    </w:p>
    <w:p>
      <w:pPr>
        <w:snapToGrid w:val="0"/>
        <w:spacing w:line="578" w:lineRule="exact"/>
        <w:ind w:firstLine="320" w:firstLineChars="1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（3）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积分相等队之间互相比赛进球数多者，名次列前；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4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）若再相等，红黄牌数量少者，名次列前；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5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）若再相等以抽签的办法决定名次。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9．弃权与罢赛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（1）所有参赛队伍必须执行赛事规程及组委会的相关规定，服从裁判判决。凡违反者，将受到警告、判罚违例、直至取消比赛资格、并受组委会的追加处罚。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（2）弃权：在比赛进行中除不可抗拒的原因外，不能在5分钟内继续比赛则按本场比赛弃权论。一场比赛运动队迟到15分钟，判该运动队该场比赛弃权。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（3）罢赛：运动队违规违纪造成比赛不能进行或中断比赛5分钟；赛后拒绝按组委会安排参加颁奖仪式超过5分钟者（经劝解说服工作后计算时间）视为罢赛。赛场一旦出现罢赛，组委会有权按照有关条例进行处罚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10．运动员必须服从裁判员判罚，若有异议必须以书面形式向组委会上报。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11．被出示黄牌累计2次，停赛1场；（同一场比赛因连续被出示2张黄牌而被出示红牌的，该2张黄牌不做累计）；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被出示红牌自动停赛1场（追加处罚除外）。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12．在比赛中，11人制比赛不足7人，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8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人制比赛不足</w:t>
      </w: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6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人，则本场比赛自然中止，视该队为弃权，判对方3：0胜，如比赛中止时场上比分已经超过3:0，则以当场中止时实际比分为准。如某一队故意利用此规则而企图获得不正当利益的，经认定后，组委会将根据事实进行追加处罚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13．如因特殊情况的干扰，造成比赛中断，经联赛组委会的多方努力仍未能恢复比赛，当时的比赛成绩有效，组委会必须尽快（24小时内）另选场地补足本场比赛剩余时间（包括罚球点球）。</w:t>
      </w:r>
    </w:p>
    <w:p>
      <w:pPr>
        <w:tabs>
          <w:tab w:val="left" w:pos="2835"/>
        </w:tabs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楷体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楷体_GB2312"/>
          <w:kern w:val="2"/>
          <w:sz w:val="32"/>
          <w:szCs w:val="32"/>
          <w:lang w:val="en-US" w:eastAsia="zh-CN" w:bidi="ar-SA"/>
        </w:rPr>
        <w:t>（二）赛场管理规定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．赛前未报名注册或者，一律不得参赛。未报名注册运动员代表某队参加比赛，一经查实，取消该队比赛成绩判该队本场比赛积分为“0”。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．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比赛中队伍场上、场下队员不尊重裁判或不服从判罚，则酌情给予该队员警告或罚令出场处分。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4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．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比赛中场上队员间寻衅滋事，不听从劝告直接发生正面冲突者，给予该队员（或队员双方）停赛三轮处理外，视其情节轻重直至取消本赛季比赛资格。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．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比赛中若出现无故罢赛则取消该队以后轮次所有场次比赛资格。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楷体_GB2312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6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．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比赛中场上队员不服从判罚，出现辱骂裁判、殴打裁判等行为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则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取消其比赛资格；情节严重者，依法追究涉事人员法律责任。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十一、奖项设置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kern w:val="2"/>
          <w:sz w:val="32"/>
          <w:szCs w:val="32"/>
          <w:lang w:val="en-US" w:eastAsia="zh-CN" w:bidi="ar-SA"/>
        </w:rPr>
        <w:t>1</w:t>
      </w:r>
      <w:r>
        <w:rPr>
          <w:rStyle w:val="5"/>
          <w:rFonts w:eastAsia="仿宋_GB2312"/>
          <w:kern w:val="2"/>
          <w:sz w:val="32"/>
          <w:szCs w:val="32"/>
          <w:lang w:val="en-US" w:eastAsia="zh-CN" w:bidi="ar-SA"/>
        </w:rPr>
        <w:t>．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设“比赛名次奖”。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．设“金球奖”一名。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3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．设“最佳守门员”奖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两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名。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十二、录取名次和奖励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hint="default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1．比赛名次奖，录取前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五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名给予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奖状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奖励，冠军奖给奖杯一座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2．录取“金球奖”“最佳守门员”各一名，分别获奖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杯一座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hint="default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十三、比赛监督、裁判长、裁判员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比赛监督、裁判长、裁判员</w:t>
      </w: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  <w:t>由主办单位选派抽调。</w:t>
      </w:r>
    </w:p>
    <w:p>
      <w:pPr>
        <w:spacing w:line="578" w:lineRule="exact"/>
        <w:ind w:firstLine="640" w:firstLineChars="200"/>
        <w:jc w:val="both"/>
        <w:textAlignment w:val="baseline"/>
        <w:rPr>
          <w:rStyle w:val="5"/>
          <w:rFonts w:hint="default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十四、后勤服务</w:t>
      </w:r>
    </w:p>
    <w:p>
      <w:pPr>
        <w:snapToGrid w:val="0"/>
        <w:spacing w:before="0" w:beforeAutospacing="0" w:after="0" w:afterAutospacing="0" w:line="600" w:lineRule="exact"/>
        <w:ind w:firstLine="641"/>
        <w:jc w:val="left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/>
          <w:color w:val="000000"/>
          <w:kern w:val="2"/>
          <w:sz w:val="32"/>
          <w:szCs w:val="32"/>
          <w:lang w:val="en-US" w:eastAsia="zh-CN" w:bidi="ar-SA"/>
        </w:rPr>
        <w:t>每场比赛需有校医院工作人员进行现场医务监督。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十五、工作人员联系方式</w:t>
      </w:r>
    </w:p>
    <w:p>
      <w:pPr>
        <w:snapToGrid w:val="0"/>
        <w:spacing w:before="0" w:beforeAutospacing="0" w:after="0" w:afterAutospacing="0" w:line="600" w:lineRule="exact"/>
        <w:ind w:firstLine="640" w:firstLineChars="200"/>
        <w:jc w:val="left"/>
        <w:textAlignment w:val="baseline"/>
        <w:rPr>
          <w:rStyle w:val="5"/>
          <w:rFonts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仿宋_GB2312" w:cstheme="minorBidi"/>
          <w:color w:val="000000"/>
          <w:kern w:val="2"/>
          <w:sz w:val="32"/>
          <w:szCs w:val="32"/>
          <w:lang w:val="en-US" w:eastAsia="zh-CN" w:bidi="ar-SA"/>
        </w:rPr>
        <w:t>足球协会：李昱昊（QQ：2460191180 电话：15281770402)</w:t>
      </w:r>
    </w:p>
    <w:p>
      <w:pPr>
        <w:snapToGrid w:val="0"/>
        <w:spacing w:line="578" w:lineRule="exact"/>
        <w:ind w:firstLine="640" w:firstLineChars="200"/>
        <w:jc w:val="left"/>
        <w:textAlignment w:val="baseline"/>
        <w:rPr>
          <w:rStyle w:val="5"/>
          <w:rFonts w:hint="eastAs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十六、本规程解释权属主办单位，未尽事宜另行通知。</w:t>
      </w:r>
    </w:p>
    <w:p>
      <w:pPr>
        <w:tabs>
          <w:tab w:val="left" w:pos="540"/>
        </w:tabs>
        <w:spacing w:line="530" w:lineRule="exact"/>
        <w:jc w:val="both"/>
        <w:textAlignment w:val="baseline"/>
        <w:rPr>
          <w:rStyle w:val="5"/>
          <w:rFonts w:hint="eastAsia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600" w:lineRule="exact"/>
        <w:ind w:right="128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pPr>
        <w:snapToGrid w:val="0"/>
        <w:spacing w:before="0" w:beforeAutospacing="0" w:after="0" w:afterAutospacing="0" w:line="600" w:lineRule="exact"/>
        <w:ind w:right="128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pPr>
        <w:snapToGrid w:val="0"/>
        <w:spacing w:before="0" w:beforeAutospacing="0" w:after="0" w:afterAutospacing="0" w:line="600" w:lineRule="exact"/>
        <w:ind w:right="128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pPr>
        <w:snapToGrid w:val="0"/>
        <w:spacing w:before="0" w:beforeAutospacing="0" w:after="0" w:afterAutospacing="0" w:line="600" w:lineRule="exact"/>
        <w:ind w:right="128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pPr>
        <w:snapToGrid w:val="0"/>
        <w:spacing w:before="0" w:beforeAutospacing="0" w:after="0" w:afterAutospacing="0" w:line="600" w:lineRule="exact"/>
        <w:ind w:right="128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pPr>
        <w:snapToGrid w:val="0"/>
        <w:spacing w:before="0" w:beforeAutospacing="0" w:after="0" w:afterAutospacing="0" w:line="600" w:lineRule="exact"/>
        <w:ind w:right="128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pPr>
        <w:snapToGrid w:val="0"/>
        <w:spacing w:before="0" w:beforeAutospacing="0" w:after="0" w:afterAutospacing="0" w:line="600" w:lineRule="exact"/>
        <w:ind w:right="128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pPr>
        <w:snapToGrid w:val="0"/>
        <w:spacing w:before="0" w:beforeAutospacing="0" w:after="0" w:afterAutospacing="0" w:line="600" w:lineRule="exact"/>
        <w:ind w:right="128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pPr>
        <w:snapToGrid w:val="0"/>
        <w:spacing w:before="0" w:beforeAutospacing="0" w:after="0" w:afterAutospacing="0" w:line="600" w:lineRule="exact"/>
        <w:ind w:right="1280"/>
        <w:jc w:val="both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2"/>
          <w:szCs w:val="36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18" w:left="1588" w:header="851" w:footer="1134" w:gutter="0"/>
      <w:lnNumType w:countBy="0"/>
      <w:cols w:space="425" w:num="1"/>
      <w:titlePg/>
      <w:vAlign w:val="top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7"/>
        <w:rFonts w:ascii="宋体" w:hAnsi="宋体"/>
        <w:kern w:val="2"/>
        <w:sz w:val="28"/>
        <w:szCs w:val="2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09F61"/>
    <w:multiLevelType w:val="singleLevel"/>
    <w:tmpl w:val="6B009F6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144E3"/>
    <w:rsid w:val="03F943B7"/>
    <w:rsid w:val="084F1F2C"/>
    <w:rsid w:val="1A0E0027"/>
    <w:rsid w:val="1EE70242"/>
    <w:rsid w:val="211F6FB6"/>
    <w:rsid w:val="27134D8C"/>
    <w:rsid w:val="2C74741E"/>
    <w:rsid w:val="4ADB3B69"/>
    <w:rsid w:val="57A5238D"/>
    <w:rsid w:val="63BB0ABE"/>
    <w:rsid w:val="64954383"/>
    <w:rsid w:val="68C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UserStyle_1"/>
    <w:qFormat/>
    <w:uiPriority w:val="0"/>
    <w:pPr>
      <w:jc w:val="both"/>
      <w:textAlignment w:val="baseline"/>
    </w:pPr>
    <w:rPr>
      <w:rFonts w:ascii="Arial Unicode MS" w:hAnsi="Arial Unicode MS" w:eastAsia="宋体" w:cstheme="minorBidi"/>
      <w:color w:val="000000"/>
      <w:kern w:val="2"/>
      <w:sz w:val="21"/>
      <w:szCs w:val="21"/>
      <w:lang w:val="en-US" w:eastAsia="zh-CN" w:bidi="ar-SA"/>
    </w:rPr>
  </w:style>
  <w:style w:type="character" w:customStyle="1" w:styleId="7">
    <w:name w:val="PageNumber"/>
    <w:basedOn w:val="5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2021-05-13T09:03:00Z</dcterms:created>
  <dc:creator>Oreo</dc:creator>
  <cp:lastModifiedBy>Administrator</cp:lastModifiedBy>
  <dcterms:modified xsi:type="dcterms:W3CDTF">2021-05-19T00:42:37Z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F2CB676BD02C4F9BA9E4BC7E90C7C88D</vt:lpwstr>
  </property>
</Properties>
</file>